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5C8E6" w14:textId="4CC80FCC" w:rsidR="00874EA9" w:rsidRPr="00874EA9" w:rsidRDefault="00874EA9" w:rsidP="00874EA9">
      <w:pPr>
        <w:rPr>
          <w:b/>
          <w:bCs/>
        </w:rPr>
      </w:pPr>
      <w:r w:rsidRPr="00874EA9">
        <w:rPr>
          <w:b/>
          <w:bCs/>
        </w:rPr>
        <w:t xml:space="preserve">10. </w:t>
      </w:r>
      <w:r w:rsidRPr="00874EA9">
        <w:rPr>
          <w:b/>
          <w:bCs/>
        </w:rPr>
        <w:t xml:space="preserve">Traffic Calming Advisory Group </w:t>
      </w:r>
      <w:r w:rsidRPr="00874EA9">
        <w:rPr>
          <w:b/>
          <w:bCs/>
        </w:rPr>
        <w:t>Report for Parish Council</w:t>
      </w:r>
      <w:r>
        <w:rPr>
          <w:b/>
          <w:bCs/>
        </w:rPr>
        <w:t xml:space="preserve"> Meeting -</w:t>
      </w:r>
      <w:r w:rsidRPr="00874EA9">
        <w:rPr>
          <w:b/>
          <w:bCs/>
        </w:rPr>
        <w:t xml:space="preserve"> 4</w:t>
      </w:r>
      <w:r w:rsidRPr="00874EA9">
        <w:rPr>
          <w:b/>
          <w:bCs/>
          <w:vertAlign w:val="superscript"/>
        </w:rPr>
        <w:t>th</w:t>
      </w:r>
      <w:r w:rsidRPr="00874EA9">
        <w:rPr>
          <w:b/>
          <w:bCs/>
        </w:rPr>
        <w:t xml:space="preserve"> December 2024</w:t>
      </w:r>
    </w:p>
    <w:p w14:paraId="56DD7AF3" w14:textId="77777777" w:rsidR="00874EA9" w:rsidRDefault="00874EA9" w:rsidP="00874EA9"/>
    <w:p w14:paraId="0F5FA932" w14:textId="0858EF35" w:rsidR="00874EA9" w:rsidRPr="00874EA9" w:rsidRDefault="00874EA9" w:rsidP="00874EA9">
      <w:r w:rsidRPr="00874EA9">
        <w:t xml:space="preserve">The Traffic Calming Advisory Group met on the 13th of November to discuss initiatives that the group has taken on (attached is a DRAFT of the minutes taken). </w:t>
      </w:r>
    </w:p>
    <w:p w14:paraId="63EAA2DA" w14:textId="77777777" w:rsidR="00874EA9" w:rsidRPr="00874EA9" w:rsidRDefault="00874EA9" w:rsidP="00874EA9">
      <w:r w:rsidRPr="00874EA9">
        <w:t> </w:t>
      </w:r>
    </w:p>
    <w:p w14:paraId="3B766E2C" w14:textId="77777777" w:rsidR="00874EA9" w:rsidRPr="00874EA9" w:rsidRDefault="00874EA9" w:rsidP="00874EA9">
      <w:r w:rsidRPr="00874EA9">
        <w:t>One principle initiative is to work with OCC to reduce the speed limit on the B430 through the village. Since the advisory group met, Graham Barnett has been exchanging numerous messages with James Wright of OCC to move this initiative forward. Following some initial kickback from OCC and reluctance to reduce the speed limit, Graham persisted in his efforts highlighting several unfulfilled commitments made by OCC to the Parish in previous years and directly questioning the factors referenced for Middleton Stoney and Ardley when their limits were reduced.</w:t>
      </w:r>
    </w:p>
    <w:p w14:paraId="496D53D1" w14:textId="77777777" w:rsidR="00874EA9" w:rsidRPr="00874EA9" w:rsidRDefault="00874EA9" w:rsidP="00874EA9">
      <w:r w:rsidRPr="00874EA9">
        <w:t>Earlier today Graham was invited to call James to discuss our concerns and it appears that OCC are to "</w:t>
      </w:r>
      <w:r w:rsidRPr="00874EA9">
        <w:rPr>
          <w:i/>
          <w:iCs/>
        </w:rPr>
        <w:t>break</w:t>
      </w:r>
      <w:r w:rsidRPr="00874EA9">
        <w:t>" from "</w:t>
      </w:r>
      <w:r w:rsidRPr="00874EA9">
        <w:rPr>
          <w:i/>
          <w:iCs/>
        </w:rPr>
        <w:t>normal</w:t>
      </w:r>
      <w:r w:rsidRPr="00874EA9">
        <w:t>" protocol to give us a 30mph speed limit.</w:t>
      </w:r>
    </w:p>
    <w:p w14:paraId="02355DDC" w14:textId="77777777" w:rsidR="00874EA9" w:rsidRPr="00874EA9" w:rsidRDefault="00874EA9" w:rsidP="00874EA9"/>
    <w:p w14:paraId="545E67BC" w14:textId="77777777" w:rsidR="00874EA9" w:rsidRPr="00874EA9" w:rsidRDefault="00874EA9" w:rsidP="00874EA9">
      <w:r w:rsidRPr="00874EA9">
        <w:t>With regard to "</w:t>
      </w:r>
      <w:r w:rsidRPr="00874EA9">
        <w:rPr>
          <w:i/>
          <w:iCs/>
        </w:rPr>
        <w:t>Speed Watch</w:t>
      </w:r>
      <w:r w:rsidRPr="00874EA9">
        <w:t>" there were two held on the W/C 11 November on the B430 South, 8 vehicles have been reported for exceeding the speed limits as shown in the table below.</w:t>
      </w:r>
    </w:p>
    <w:tbl>
      <w:tblPr>
        <w:tblW w:w="4860" w:type="dxa"/>
        <w:tblCellMar>
          <w:left w:w="0" w:type="dxa"/>
          <w:right w:w="0" w:type="dxa"/>
        </w:tblCellMar>
        <w:tblLook w:val="04A0" w:firstRow="1" w:lastRow="0" w:firstColumn="1" w:lastColumn="0" w:noHBand="0" w:noVBand="1"/>
      </w:tblPr>
      <w:tblGrid>
        <w:gridCol w:w="1820"/>
        <w:gridCol w:w="1520"/>
        <w:gridCol w:w="1520"/>
      </w:tblGrid>
      <w:tr w:rsidR="00874EA9" w:rsidRPr="00874EA9" w14:paraId="30492F0C" w14:textId="77777777" w:rsidTr="00874EA9">
        <w:trPr>
          <w:trHeight w:val="300"/>
        </w:trPr>
        <w:tc>
          <w:tcPr>
            <w:tcW w:w="1820" w:type="dxa"/>
            <w:noWrap/>
            <w:tcMar>
              <w:top w:w="15" w:type="dxa"/>
              <w:left w:w="15" w:type="dxa"/>
              <w:bottom w:w="0" w:type="dxa"/>
              <w:right w:w="15" w:type="dxa"/>
            </w:tcMar>
            <w:vAlign w:val="center"/>
            <w:hideMark/>
          </w:tcPr>
          <w:p w14:paraId="44BE7496" w14:textId="77777777" w:rsidR="00874EA9" w:rsidRPr="00874EA9" w:rsidRDefault="00874EA9" w:rsidP="00874EA9"/>
        </w:tc>
        <w:tc>
          <w:tcPr>
            <w:tcW w:w="1520" w:type="dxa"/>
            <w:shd w:val="clear" w:color="auto" w:fill="F2F2F2"/>
            <w:noWrap/>
            <w:tcMar>
              <w:top w:w="15" w:type="dxa"/>
              <w:left w:w="15" w:type="dxa"/>
              <w:bottom w:w="0" w:type="dxa"/>
              <w:right w:w="15" w:type="dxa"/>
            </w:tcMar>
            <w:vAlign w:val="center"/>
            <w:hideMark/>
          </w:tcPr>
          <w:p w14:paraId="598B6E70" w14:textId="77777777" w:rsidR="00874EA9" w:rsidRPr="00874EA9" w:rsidRDefault="00874EA9" w:rsidP="00874EA9">
            <w:pPr>
              <w:rPr>
                <w:b/>
                <w:bCs/>
              </w:rPr>
            </w:pPr>
            <w:r w:rsidRPr="00874EA9">
              <w:rPr>
                <w:b/>
                <w:bCs/>
              </w:rPr>
              <w:t>South Bound</w:t>
            </w:r>
          </w:p>
        </w:tc>
        <w:tc>
          <w:tcPr>
            <w:tcW w:w="1520" w:type="dxa"/>
            <w:shd w:val="clear" w:color="auto" w:fill="F2F2F2"/>
            <w:noWrap/>
            <w:tcMar>
              <w:top w:w="15" w:type="dxa"/>
              <w:left w:w="15" w:type="dxa"/>
              <w:bottom w:w="0" w:type="dxa"/>
              <w:right w:w="15" w:type="dxa"/>
            </w:tcMar>
            <w:vAlign w:val="center"/>
            <w:hideMark/>
          </w:tcPr>
          <w:p w14:paraId="5518B79F" w14:textId="77777777" w:rsidR="00874EA9" w:rsidRPr="00874EA9" w:rsidRDefault="00874EA9" w:rsidP="00874EA9">
            <w:pPr>
              <w:rPr>
                <w:b/>
                <w:bCs/>
              </w:rPr>
            </w:pPr>
            <w:r w:rsidRPr="00874EA9">
              <w:rPr>
                <w:b/>
                <w:bCs/>
              </w:rPr>
              <w:t>North bound</w:t>
            </w:r>
          </w:p>
        </w:tc>
      </w:tr>
      <w:tr w:rsidR="00874EA9" w:rsidRPr="00874EA9" w14:paraId="05ACDB2A" w14:textId="77777777" w:rsidTr="00874EA9">
        <w:trPr>
          <w:trHeight w:val="300"/>
        </w:trPr>
        <w:tc>
          <w:tcPr>
            <w:tcW w:w="0" w:type="auto"/>
            <w:shd w:val="clear" w:color="auto" w:fill="F2F2F2"/>
            <w:noWrap/>
            <w:tcMar>
              <w:top w:w="15" w:type="dxa"/>
              <w:left w:w="15" w:type="dxa"/>
              <w:bottom w:w="0" w:type="dxa"/>
              <w:right w:w="15" w:type="dxa"/>
            </w:tcMar>
            <w:vAlign w:val="center"/>
            <w:hideMark/>
          </w:tcPr>
          <w:p w14:paraId="029EA280" w14:textId="77777777" w:rsidR="00874EA9" w:rsidRPr="00874EA9" w:rsidRDefault="00874EA9" w:rsidP="00874EA9">
            <w:pPr>
              <w:rPr>
                <w:b/>
                <w:bCs/>
              </w:rPr>
            </w:pPr>
            <w:r w:rsidRPr="00874EA9">
              <w:rPr>
                <w:b/>
                <w:bCs/>
              </w:rPr>
              <w:t>Tuesday 12 Nov</w:t>
            </w:r>
          </w:p>
        </w:tc>
        <w:tc>
          <w:tcPr>
            <w:tcW w:w="0" w:type="auto"/>
            <w:noWrap/>
            <w:tcMar>
              <w:top w:w="15" w:type="dxa"/>
              <w:left w:w="15" w:type="dxa"/>
              <w:bottom w:w="0" w:type="dxa"/>
              <w:right w:w="15" w:type="dxa"/>
            </w:tcMar>
            <w:vAlign w:val="center"/>
            <w:hideMark/>
          </w:tcPr>
          <w:p w14:paraId="1ACCB263" w14:textId="77777777" w:rsidR="00874EA9" w:rsidRPr="00874EA9" w:rsidRDefault="00874EA9" w:rsidP="00874EA9">
            <w:pPr>
              <w:rPr>
                <w:b/>
                <w:bCs/>
              </w:rPr>
            </w:pPr>
          </w:p>
        </w:tc>
        <w:tc>
          <w:tcPr>
            <w:tcW w:w="0" w:type="auto"/>
            <w:noWrap/>
            <w:tcMar>
              <w:top w:w="15" w:type="dxa"/>
              <w:left w:w="15" w:type="dxa"/>
              <w:bottom w:w="0" w:type="dxa"/>
              <w:right w:w="15" w:type="dxa"/>
            </w:tcMar>
            <w:vAlign w:val="center"/>
            <w:hideMark/>
          </w:tcPr>
          <w:p w14:paraId="39E4480D" w14:textId="77777777" w:rsidR="00874EA9" w:rsidRPr="00874EA9" w:rsidRDefault="00874EA9" w:rsidP="00874EA9"/>
        </w:tc>
      </w:tr>
      <w:tr w:rsidR="00874EA9" w:rsidRPr="00874EA9" w14:paraId="6BF0B62B" w14:textId="77777777" w:rsidTr="00874EA9">
        <w:trPr>
          <w:trHeight w:val="285"/>
        </w:trPr>
        <w:tc>
          <w:tcPr>
            <w:tcW w:w="0" w:type="auto"/>
            <w:shd w:val="clear" w:color="auto" w:fill="F2F2F2"/>
            <w:noWrap/>
            <w:tcMar>
              <w:top w:w="15" w:type="dxa"/>
              <w:left w:w="15" w:type="dxa"/>
              <w:bottom w:w="0" w:type="dxa"/>
              <w:right w:w="15" w:type="dxa"/>
            </w:tcMar>
            <w:vAlign w:val="center"/>
            <w:hideMark/>
          </w:tcPr>
          <w:p w14:paraId="536095D3" w14:textId="77777777" w:rsidR="00874EA9" w:rsidRPr="00874EA9" w:rsidRDefault="00874EA9" w:rsidP="00874EA9">
            <w:r w:rsidRPr="00874EA9">
              <w:t>Vehicle Count:</w:t>
            </w:r>
          </w:p>
        </w:tc>
        <w:tc>
          <w:tcPr>
            <w:tcW w:w="0" w:type="auto"/>
            <w:noWrap/>
            <w:tcMar>
              <w:top w:w="15" w:type="dxa"/>
              <w:left w:w="15" w:type="dxa"/>
              <w:bottom w:w="0" w:type="dxa"/>
              <w:right w:w="15" w:type="dxa"/>
            </w:tcMar>
            <w:vAlign w:val="center"/>
            <w:hideMark/>
          </w:tcPr>
          <w:p w14:paraId="3B60A901" w14:textId="77777777" w:rsidR="00874EA9" w:rsidRPr="00874EA9" w:rsidRDefault="00874EA9" w:rsidP="00874EA9">
            <w:r w:rsidRPr="00874EA9">
              <w:t>563</w:t>
            </w:r>
          </w:p>
        </w:tc>
        <w:tc>
          <w:tcPr>
            <w:tcW w:w="0" w:type="auto"/>
            <w:noWrap/>
            <w:tcMar>
              <w:top w:w="15" w:type="dxa"/>
              <w:left w:w="15" w:type="dxa"/>
              <w:bottom w:w="0" w:type="dxa"/>
              <w:right w:w="15" w:type="dxa"/>
            </w:tcMar>
            <w:vAlign w:val="center"/>
            <w:hideMark/>
          </w:tcPr>
          <w:p w14:paraId="06404DAE" w14:textId="77777777" w:rsidR="00874EA9" w:rsidRPr="00874EA9" w:rsidRDefault="00874EA9" w:rsidP="00874EA9">
            <w:r w:rsidRPr="00874EA9">
              <w:t>176</w:t>
            </w:r>
          </w:p>
        </w:tc>
      </w:tr>
      <w:tr w:rsidR="00874EA9" w:rsidRPr="00874EA9" w14:paraId="0F7C2F6B" w14:textId="77777777" w:rsidTr="00874EA9">
        <w:trPr>
          <w:trHeight w:val="285"/>
        </w:trPr>
        <w:tc>
          <w:tcPr>
            <w:tcW w:w="0" w:type="auto"/>
            <w:shd w:val="clear" w:color="auto" w:fill="F2F2F2"/>
            <w:noWrap/>
            <w:tcMar>
              <w:top w:w="15" w:type="dxa"/>
              <w:left w:w="15" w:type="dxa"/>
              <w:bottom w:w="0" w:type="dxa"/>
              <w:right w:w="15" w:type="dxa"/>
            </w:tcMar>
            <w:vAlign w:val="center"/>
            <w:hideMark/>
          </w:tcPr>
          <w:p w14:paraId="0C89850A" w14:textId="77777777" w:rsidR="00874EA9" w:rsidRPr="00874EA9" w:rsidRDefault="00874EA9" w:rsidP="00874EA9">
            <w:r w:rsidRPr="00874EA9">
              <w:t>47 to 59 mph</w:t>
            </w:r>
          </w:p>
        </w:tc>
        <w:tc>
          <w:tcPr>
            <w:tcW w:w="0" w:type="auto"/>
            <w:noWrap/>
            <w:tcMar>
              <w:top w:w="15" w:type="dxa"/>
              <w:left w:w="15" w:type="dxa"/>
              <w:bottom w:w="0" w:type="dxa"/>
              <w:right w:w="15" w:type="dxa"/>
            </w:tcMar>
            <w:vAlign w:val="center"/>
            <w:hideMark/>
          </w:tcPr>
          <w:p w14:paraId="12C17606" w14:textId="77777777" w:rsidR="00874EA9" w:rsidRPr="00874EA9" w:rsidRDefault="00874EA9" w:rsidP="00874EA9">
            <w:r w:rsidRPr="00874EA9">
              <w:t>6</w:t>
            </w:r>
          </w:p>
        </w:tc>
        <w:tc>
          <w:tcPr>
            <w:tcW w:w="0" w:type="auto"/>
            <w:noWrap/>
            <w:tcMar>
              <w:top w:w="15" w:type="dxa"/>
              <w:left w:w="15" w:type="dxa"/>
              <w:bottom w:w="0" w:type="dxa"/>
              <w:right w:w="15" w:type="dxa"/>
            </w:tcMar>
            <w:vAlign w:val="center"/>
            <w:hideMark/>
          </w:tcPr>
          <w:p w14:paraId="22D99029" w14:textId="77777777" w:rsidR="00874EA9" w:rsidRPr="00874EA9" w:rsidRDefault="00874EA9" w:rsidP="00874EA9"/>
        </w:tc>
      </w:tr>
      <w:tr w:rsidR="00874EA9" w:rsidRPr="00874EA9" w14:paraId="4B5E91F1" w14:textId="77777777" w:rsidTr="00874EA9">
        <w:trPr>
          <w:trHeight w:val="285"/>
        </w:trPr>
        <w:tc>
          <w:tcPr>
            <w:tcW w:w="0" w:type="auto"/>
            <w:shd w:val="clear" w:color="auto" w:fill="F2F2F2"/>
            <w:noWrap/>
            <w:tcMar>
              <w:top w:w="15" w:type="dxa"/>
              <w:left w:w="15" w:type="dxa"/>
              <w:bottom w:w="0" w:type="dxa"/>
              <w:right w:w="15" w:type="dxa"/>
            </w:tcMar>
            <w:vAlign w:val="center"/>
            <w:hideMark/>
          </w:tcPr>
          <w:p w14:paraId="2A33CA07" w14:textId="77777777" w:rsidR="00874EA9" w:rsidRPr="00874EA9" w:rsidRDefault="00874EA9" w:rsidP="00874EA9">
            <w:r w:rsidRPr="00874EA9">
              <w:t> </w:t>
            </w:r>
          </w:p>
        </w:tc>
        <w:tc>
          <w:tcPr>
            <w:tcW w:w="0" w:type="auto"/>
            <w:noWrap/>
            <w:tcMar>
              <w:top w:w="15" w:type="dxa"/>
              <w:left w:w="15" w:type="dxa"/>
              <w:bottom w:w="0" w:type="dxa"/>
              <w:right w:w="15" w:type="dxa"/>
            </w:tcMar>
            <w:vAlign w:val="center"/>
            <w:hideMark/>
          </w:tcPr>
          <w:p w14:paraId="1FDA4430" w14:textId="77777777" w:rsidR="00874EA9" w:rsidRPr="00874EA9" w:rsidRDefault="00874EA9" w:rsidP="00874EA9"/>
        </w:tc>
        <w:tc>
          <w:tcPr>
            <w:tcW w:w="0" w:type="auto"/>
            <w:noWrap/>
            <w:tcMar>
              <w:top w:w="15" w:type="dxa"/>
              <w:left w:w="15" w:type="dxa"/>
              <w:bottom w:w="0" w:type="dxa"/>
              <w:right w:w="15" w:type="dxa"/>
            </w:tcMar>
            <w:vAlign w:val="center"/>
            <w:hideMark/>
          </w:tcPr>
          <w:p w14:paraId="1376B085" w14:textId="77777777" w:rsidR="00874EA9" w:rsidRPr="00874EA9" w:rsidRDefault="00874EA9" w:rsidP="00874EA9"/>
        </w:tc>
      </w:tr>
      <w:tr w:rsidR="00874EA9" w:rsidRPr="00874EA9" w14:paraId="6953B150" w14:textId="77777777" w:rsidTr="00874EA9">
        <w:trPr>
          <w:trHeight w:val="300"/>
        </w:trPr>
        <w:tc>
          <w:tcPr>
            <w:tcW w:w="0" w:type="auto"/>
            <w:shd w:val="clear" w:color="auto" w:fill="F2F2F2"/>
            <w:noWrap/>
            <w:tcMar>
              <w:top w:w="15" w:type="dxa"/>
              <w:left w:w="15" w:type="dxa"/>
              <w:bottom w:w="0" w:type="dxa"/>
              <w:right w:w="15" w:type="dxa"/>
            </w:tcMar>
            <w:vAlign w:val="center"/>
            <w:hideMark/>
          </w:tcPr>
          <w:p w14:paraId="0611AA2A" w14:textId="77777777" w:rsidR="00874EA9" w:rsidRPr="00874EA9" w:rsidRDefault="00874EA9" w:rsidP="00874EA9">
            <w:pPr>
              <w:rPr>
                <w:b/>
                <w:bCs/>
              </w:rPr>
            </w:pPr>
            <w:r w:rsidRPr="00874EA9">
              <w:rPr>
                <w:b/>
                <w:bCs/>
              </w:rPr>
              <w:t>Thursday 14 Nov</w:t>
            </w:r>
          </w:p>
        </w:tc>
        <w:tc>
          <w:tcPr>
            <w:tcW w:w="0" w:type="auto"/>
            <w:noWrap/>
            <w:tcMar>
              <w:top w:w="15" w:type="dxa"/>
              <w:left w:w="15" w:type="dxa"/>
              <w:bottom w:w="0" w:type="dxa"/>
              <w:right w:w="15" w:type="dxa"/>
            </w:tcMar>
            <w:vAlign w:val="center"/>
            <w:hideMark/>
          </w:tcPr>
          <w:p w14:paraId="6EB9B80A" w14:textId="77777777" w:rsidR="00874EA9" w:rsidRPr="00874EA9" w:rsidRDefault="00874EA9" w:rsidP="00874EA9">
            <w:pPr>
              <w:rPr>
                <w:b/>
                <w:bCs/>
              </w:rPr>
            </w:pPr>
          </w:p>
        </w:tc>
        <w:tc>
          <w:tcPr>
            <w:tcW w:w="0" w:type="auto"/>
            <w:noWrap/>
            <w:tcMar>
              <w:top w:w="15" w:type="dxa"/>
              <w:left w:w="15" w:type="dxa"/>
              <w:bottom w:w="0" w:type="dxa"/>
              <w:right w:w="15" w:type="dxa"/>
            </w:tcMar>
            <w:vAlign w:val="center"/>
            <w:hideMark/>
          </w:tcPr>
          <w:p w14:paraId="65D64CF8" w14:textId="77777777" w:rsidR="00874EA9" w:rsidRPr="00874EA9" w:rsidRDefault="00874EA9" w:rsidP="00874EA9"/>
        </w:tc>
      </w:tr>
      <w:tr w:rsidR="00874EA9" w:rsidRPr="00874EA9" w14:paraId="2216376E" w14:textId="77777777" w:rsidTr="00874EA9">
        <w:trPr>
          <w:trHeight w:val="285"/>
        </w:trPr>
        <w:tc>
          <w:tcPr>
            <w:tcW w:w="0" w:type="auto"/>
            <w:shd w:val="clear" w:color="auto" w:fill="F2F2F2"/>
            <w:noWrap/>
            <w:tcMar>
              <w:top w:w="15" w:type="dxa"/>
              <w:left w:w="15" w:type="dxa"/>
              <w:bottom w:w="0" w:type="dxa"/>
              <w:right w:w="15" w:type="dxa"/>
            </w:tcMar>
            <w:vAlign w:val="center"/>
            <w:hideMark/>
          </w:tcPr>
          <w:p w14:paraId="4AC6477E" w14:textId="77777777" w:rsidR="00874EA9" w:rsidRPr="00874EA9" w:rsidRDefault="00874EA9" w:rsidP="00874EA9">
            <w:r w:rsidRPr="00874EA9">
              <w:t>Vehicle Count:</w:t>
            </w:r>
          </w:p>
        </w:tc>
        <w:tc>
          <w:tcPr>
            <w:tcW w:w="0" w:type="auto"/>
            <w:noWrap/>
            <w:tcMar>
              <w:top w:w="15" w:type="dxa"/>
              <w:left w:w="15" w:type="dxa"/>
              <w:bottom w:w="0" w:type="dxa"/>
              <w:right w:w="15" w:type="dxa"/>
            </w:tcMar>
            <w:vAlign w:val="center"/>
            <w:hideMark/>
          </w:tcPr>
          <w:p w14:paraId="33B18929" w14:textId="77777777" w:rsidR="00874EA9" w:rsidRPr="00874EA9" w:rsidRDefault="00874EA9" w:rsidP="00874EA9">
            <w:r w:rsidRPr="00874EA9">
              <w:t>673</w:t>
            </w:r>
          </w:p>
        </w:tc>
        <w:tc>
          <w:tcPr>
            <w:tcW w:w="0" w:type="auto"/>
            <w:noWrap/>
            <w:tcMar>
              <w:top w:w="15" w:type="dxa"/>
              <w:left w:w="15" w:type="dxa"/>
              <w:bottom w:w="0" w:type="dxa"/>
              <w:right w:w="15" w:type="dxa"/>
            </w:tcMar>
            <w:vAlign w:val="center"/>
            <w:hideMark/>
          </w:tcPr>
          <w:p w14:paraId="3CE7C24F" w14:textId="77777777" w:rsidR="00874EA9" w:rsidRPr="00874EA9" w:rsidRDefault="00874EA9" w:rsidP="00874EA9">
            <w:r w:rsidRPr="00874EA9">
              <w:t>212</w:t>
            </w:r>
          </w:p>
        </w:tc>
      </w:tr>
      <w:tr w:rsidR="00874EA9" w:rsidRPr="00874EA9" w14:paraId="59DB42D4" w14:textId="77777777" w:rsidTr="00874EA9">
        <w:trPr>
          <w:trHeight w:val="285"/>
        </w:trPr>
        <w:tc>
          <w:tcPr>
            <w:tcW w:w="0" w:type="auto"/>
            <w:shd w:val="clear" w:color="auto" w:fill="F2F2F2"/>
            <w:noWrap/>
            <w:tcMar>
              <w:top w:w="15" w:type="dxa"/>
              <w:left w:w="15" w:type="dxa"/>
              <w:bottom w:w="0" w:type="dxa"/>
              <w:right w:w="15" w:type="dxa"/>
            </w:tcMar>
            <w:vAlign w:val="center"/>
            <w:hideMark/>
          </w:tcPr>
          <w:p w14:paraId="49592B8F" w14:textId="77777777" w:rsidR="00874EA9" w:rsidRPr="00874EA9" w:rsidRDefault="00874EA9" w:rsidP="00874EA9">
            <w:r w:rsidRPr="00874EA9">
              <w:t>49 mph</w:t>
            </w:r>
          </w:p>
        </w:tc>
        <w:tc>
          <w:tcPr>
            <w:tcW w:w="0" w:type="auto"/>
            <w:noWrap/>
            <w:tcMar>
              <w:top w:w="15" w:type="dxa"/>
              <w:left w:w="15" w:type="dxa"/>
              <w:bottom w:w="0" w:type="dxa"/>
              <w:right w:w="15" w:type="dxa"/>
            </w:tcMar>
            <w:vAlign w:val="center"/>
            <w:hideMark/>
          </w:tcPr>
          <w:p w14:paraId="7CE8FA6B" w14:textId="77777777" w:rsidR="00874EA9" w:rsidRPr="00874EA9" w:rsidRDefault="00874EA9" w:rsidP="00874EA9">
            <w:r w:rsidRPr="00874EA9">
              <w:t>2</w:t>
            </w:r>
          </w:p>
        </w:tc>
        <w:tc>
          <w:tcPr>
            <w:tcW w:w="0" w:type="auto"/>
            <w:noWrap/>
            <w:tcMar>
              <w:top w:w="15" w:type="dxa"/>
              <w:left w:w="15" w:type="dxa"/>
              <w:bottom w:w="0" w:type="dxa"/>
              <w:right w:w="15" w:type="dxa"/>
            </w:tcMar>
            <w:vAlign w:val="center"/>
            <w:hideMark/>
          </w:tcPr>
          <w:p w14:paraId="10DBC32D" w14:textId="77777777" w:rsidR="00874EA9" w:rsidRPr="00874EA9" w:rsidRDefault="00874EA9" w:rsidP="00874EA9"/>
        </w:tc>
      </w:tr>
    </w:tbl>
    <w:p w14:paraId="4B9FA2AB" w14:textId="77777777" w:rsidR="00874EA9" w:rsidRPr="00874EA9" w:rsidRDefault="00874EA9" w:rsidP="00874EA9"/>
    <w:p w14:paraId="6B1123D2" w14:textId="77777777" w:rsidR="00874EA9" w:rsidRDefault="00874EA9"/>
    <w:sectPr w:rsidR="00874E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sDel="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EA9"/>
    <w:rsid w:val="00313DBA"/>
    <w:rsid w:val="00874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EA7D0"/>
  <w15:chartTrackingRefBased/>
  <w15:docId w15:val="{9CB02413-EF71-49E2-8E59-66F7D8A9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4E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4E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4E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4E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4E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4E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4E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4E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4E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E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4E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4E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4E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4E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4E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E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E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EA9"/>
    <w:rPr>
      <w:rFonts w:eastAsiaTheme="majorEastAsia" w:cstheme="majorBidi"/>
      <w:color w:val="272727" w:themeColor="text1" w:themeTint="D8"/>
    </w:rPr>
  </w:style>
  <w:style w:type="paragraph" w:styleId="Title">
    <w:name w:val="Title"/>
    <w:basedOn w:val="Normal"/>
    <w:next w:val="Normal"/>
    <w:link w:val="TitleChar"/>
    <w:uiPriority w:val="10"/>
    <w:qFormat/>
    <w:rsid w:val="00874E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E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E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4E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EA9"/>
    <w:pPr>
      <w:spacing w:before="160"/>
      <w:jc w:val="center"/>
    </w:pPr>
    <w:rPr>
      <w:i/>
      <w:iCs/>
      <w:color w:val="404040" w:themeColor="text1" w:themeTint="BF"/>
    </w:rPr>
  </w:style>
  <w:style w:type="character" w:customStyle="1" w:styleId="QuoteChar">
    <w:name w:val="Quote Char"/>
    <w:basedOn w:val="DefaultParagraphFont"/>
    <w:link w:val="Quote"/>
    <w:uiPriority w:val="29"/>
    <w:rsid w:val="00874EA9"/>
    <w:rPr>
      <w:i/>
      <w:iCs/>
      <w:color w:val="404040" w:themeColor="text1" w:themeTint="BF"/>
    </w:rPr>
  </w:style>
  <w:style w:type="paragraph" w:styleId="ListParagraph">
    <w:name w:val="List Paragraph"/>
    <w:basedOn w:val="Normal"/>
    <w:uiPriority w:val="34"/>
    <w:qFormat/>
    <w:rsid w:val="00874EA9"/>
    <w:pPr>
      <w:ind w:left="720"/>
      <w:contextualSpacing/>
    </w:pPr>
  </w:style>
  <w:style w:type="character" w:styleId="IntenseEmphasis">
    <w:name w:val="Intense Emphasis"/>
    <w:basedOn w:val="DefaultParagraphFont"/>
    <w:uiPriority w:val="21"/>
    <w:qFormat/>
    <w:rsid w:val="00874EA9"/>
    <w:rPr>
      <w:i/>
      <w:iCs/>
      <w:color w:val="0F4761" w:themeColor="accent1" w:themeShade="BF"/>
    </w:rPr>
  </w:style>
  <w:style w:type="paragraph" w:styleId="IntenseQuote">
    <w:name w:val="Intense Quote"/>
    <w:basedOn w:val="Normal"/>
    <w:next w:val="Normal"/>
    <w:link w:val="IntenseQuoteChar"/>
    <w:uiPriority w:val="30"/>
    <w:qFormat/>
    <w:rsid w:val="00874E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4EA9"/>
    <w:rPr>
      <w:i/>
      <w:iCs/>
      <w:color w:val="0F4761" w:themeColor="accent1" w:themeShade="BF"/>
    </w:rPr>
  </w:style>
  <w:style w:type="character" w:styleId="IntenseReference">
    <w:name w:val="Intense Reference"/>
    <w:basedOn w:val="DefaultParagraphFont"/>
    <w:uiPriority w:val="32"/>
    <w:qFormat/>
    <w:rsid w:val="00874E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042797">
      <w:bodyDiv w:val="1"/>
      <w:marLeft w:val="0"/>
      <w:marRight w:val="0"/>
      <w:marTop w:val="0"/>
      <w:marBottom w:val="0"/>
      <w:divBdr>
        <w:top w:val="none" w:sz="0" w:space="0" w:color="auto"/>
        <w:left w:val="none" w:sz="0" w:space="0" w:color="auto"/>
        <w:bottom w:val="none" w:sz="0" w:space="0" w:color="auto"/>
        <w:right w:val="none" w:sz="0" w:space="0" w:color="auto"/>
      </w:divBdr>
    </w:div>
    <w:div w:id="84351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2024-11-29T14:06:00Z</dcterms:created>
  <dcterms:modified xsi:type="dcterms:W3CDTF">2024-11-29T14:08:00Z</dcterms:modified>
</cp:coreProperties>
</file>